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CC" w:rsidRDefault="00B042CC" w:rsidP="00B042CC">
      <w:pPr>
        <w:tabs>
          <w:tab w:val="left" w:pos="5387"/>
        </w:tabs>
        <w:spacing w:line="360" w:lineRule="auto"/>
        <w:ind w:left="5245"/>
        <w:jc w:val="both"/>
        <w:rPr>
          <w:rFonts w:cs="Times New Roman"/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042CC" w:rsidRDefault="00B042CC" w:rsidP="00B042CC">
      <w:pPr>
        <w:tabs>
          <w:tab w:val="left" w:pos="5529"/>
        </w:tabs>
        <w:spacing w:before="100" w:beforeAutospacing="1"/>
        <w:ind w:left="524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B042CC" w:rsidRDefault="00B042CC" w:rsidP="00B042CC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:rsidR="00B042CC" w:rsidRDefault="00B042CC">
      <w:pPr>
        <w:pStyle w:val="3"/>
        <w:jc w:val="center"/>
        <w:rPr>
          <w:lang w:val="uk-UA"/>
        </w:rPr>
      </w:pPr>
    </w:p>
    <w:p w:rsidR="00D83072" w:rsidRPr="0025628A" w:rsidRDefault="008D4227">
      <w:pPr>
        <w:pStyle w:val="3"/>
        <w:jc w:val="center"/>
        <w:rPr>
          <w:lang w:val="uk-UA"/>
        </w:rPr>
      </w:pPr>
      <w:r w:rsidRPr="0025628A">
        <w:rPr>
          <w:lang w:val="uk-UA"/>
        </w:rPr>
        <w:t xml:space="preserve">Технологічна картка адміністративної послуги </w:t>
      </w:r>
    </w:p>
    <w:p w:rsidR="00D83072" w:rsidRPr="00B042CC" w:rsidRDefault="008D4227" w:rsidP="00B042CC">
      <w:pPr>
        <w:pStyle w:val="3"/>
        <w:jc w:val="center"/>
        <w:rPr>
          <w:u w:val="single"/>
          <w:lang w:val="uk-UA"/>
        </w:rPr>
      </w:pPr>
      <w:r w:rsidRPr="0025628A">
        <w:rPr>
          <w:u w:val="single"/>
          <w:lang w:val="uk-UA"/>
        </w:rPr>
        <w:t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</w:r>
    </w:p>
    <w:p w:rsidR="00B042CC" w:rsidRDefault="008D4227" w:rsidP="00B042CC">
      <w:pPr>
        <w:pStyle w:val="a5"/>
        <w:spacing w:before="0" w:after="0"/>
        <w:jc w:val="center"/>
        <w:rPr>
          <w:lang w:val="uk-UA"/>
        </w:rPr>
      </w:pPr>
      <w:r w:rsidRPr="0025628A">
        <w:rPr>
          <w:lang w:val="uk-UA"/>
        </w:rPr>
        <w:t>щодо об'єктів, що за класом наслідків (відповідальності) належать до об'єктів з незначними (СС1) наслідками, та об'єктів, розташованих у межах сіл, селищ та міст, згідно делегованих повноважень)</w:t>
      </w:r>
    </w:p>
    <w:p w:rsidR="00B042CC" w:rsidRDefault="00B042CC" w:rsidP="00B042CC">
      <w:pPr>
        <w:pStyle w:val="a5"/>
        <w:spacing w:before="0" w:after="0"/>
        <w:jc w:val="center"/>
        <w:rPr>
          <w:lang w:val="uk-UA"/>
        </w:rPr>
      </w:pPr>
    </w:p>
    <w:p w:rsidR="00B042CC" w:rsidRDefault="00B042CC" w:rsidP="00B042CC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B042CC" w:rsidRDefault="00B042CC" w:rsidP="00B042CC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B042CC" w:rsidRDefault="00B042CC" w:rsidP="00B042C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B042CC" w:rsidRDefault="00B042CC" w:rsidP="00B042CC">
      <w:pPr>
        <w:jc w:val="center"/>
        <w:rPr>
          <w:sz w:val="22"/>
          <w:szCs w:val="22"/>
          <w:lang w:val="uk-UA"/>
        </w:rPr>
      </w:pP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3"/>
        <w:gridCol w:w="2608"/>
        <w:gridCol w:w="2423"/>
        <w:gridCol w:w="2547"/>
        <w:gridCol w:w="1388"/>
      </w:tblGrid>
      <w:tr w:rsidR="00D83072" w:rsidRPr="0025628A" w:rsidTr="00B042CC">
        <w:trPr>
          <w:trHeight w:val="1505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72" w:rsidRPr="0025628A" w:rsidRDefault="008D4227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lang w:val="uk-UA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72" w:rsidRPr="0025628A" w:rsidRDefault="008D4227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72" w:rsidRPr="0025628A" w:rsidRDefault="008D4227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Відповідальна посадова особа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72" w:rsidRPr="0025628A" w:rsidRDefault="008D4227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72" w:rsidRPr="0025628A" w:rsidRDefault="008D4227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Строки виконання етапів (дії, рішення)</w:t>
            </w:r>
          </w:p>
        </w:tc>
      </w:tr>
      <w:tr w:rsidR="00B042CC" w:rsidRPr="0025628A" w:rsidTr="00B042CC">
        <w:trPr>
          <w:trHeight w:val="1505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1.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 xml:space="preserve">Реєстрація документів, що надійшли до Управління 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pStyle w:val="a5"/>
              <w:jc w:val="center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>Один робочий день</w:t>
            </w:r>
          </w:p>
        </w:tc>
      </w:tr>
      <w:tr w:rsidR="00B042CC" w:rsidRPr="0025628A" w:rsidTr="00B042CC">
        <w:trPr>
          <w:trHeight w:val="2705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t>2.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>Перевірка повноти даних, зазначених у декларації про готовність об’єкта до експлуатації (далі – декларація)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pStyle w:val="a5"/>
              <w:jc w:val="center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>Вісім робочих днів</w:t>
            </w:r>
          </w:p>
        </w:tc>
      </w:tr>
      <w:tr w:rsidR="00B042CC" w:rsidRPr="0025628A" w:rsidTr="00B042CC">
        <w:trPr>
          <w:trHeight w:val="3005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jc w:val="center"/>
              <w:rPr>
                <w:lang w:val="uk-UA"/>
              </w:rPr>
            </w:pPr>
            <w:r w:rsidRPr="0025628A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>Внесення інформації, зазначеної у декларації, до Реєстру будівельної діяльності або повернення декларації замовнику (його уповноваженій особі) з письмовим обґрунтуванням причин повернення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pStyle w:val="a5"/>
              <w:jc w:val="center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Default="00B042CC" w:rsidP="00B042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2CC" w:rsidRPr="0025628A" w:rsidRDefault="00B042CC" w:rsidP="00B042CC">
            <w:pPr>
              <w:pStyle w:val="a5"/>
              <w:rPr>
                <w:lang w:val="uk-UA"/>
              </w:rPr>
            </w:pPr>
            <w:r w:rsidRPr="0025628A">
              <w:rPr>
                <w:lang w:val="uk-UA"/>
              </w:rPr>
              <w:t>Один робочий день</w:t>
            </w:r>
          </w:p>
        </w:tc>
      </w:tr>
    </w:tbl>
    <w:p w:rsidR="00D83072" w:rsidRPr="0025628A" w:rsidRDefault="00D83072">
      <w:pPr>
        <w:pStyle w:val="a5"/>
        <w:widowControl w:val="0"/>
        <w:spacing w:before="0" w:after="0"/>
        <w:jc w:val="center"/>
        <w:rPr>
          <w:u w:val="single"/>
          <w:lang w:val="uk-UA"/>
        </w:rPr>
      </w:pPr>
    </w:p>
    <w:p w:rsidR="00D83072" w:rsidRPr="0025628A" w:rsidRDefault="008D4227">
      <w:pPr>
        <w:pStyle w:val="a5"/>
        <w:jc w:val="center"/>
        <w:rPr>
          <w:lang w:val="uk-UA"/>
        </w:rPr>
      </w:pPr>
      <w:r w:rsidRPr="0025628A">
        <w:rPr>
          <w:lang w:val="uk-UA"/>
        </w:rPr>
        <w:t>Рішення про реєстрацію або повернення декларації може бути оскаржено до суду.</w:t>
      </w:r>
    </w:p>
    <w:p w:rsidR="00D83072" w:rsidRPr="0025628A" w:rsidRDefault="008D4227">
      <w:pPr>
        <w:pStyle w:val="a5"/>
        <w:spacing w:before="0" w:after="0"/>
        <w:ind w:firstLine="426"/>
        <w:jc w:val="both"/>
        <w:rPr>
          <w:lang w:val="uk-UA"/>
        </w:rPr>
      </w:pPr>
      <w:r w:rsidRPr="0025628A">
        <w:rPr>
          <w:lang w:val="uk-UA"/>
        </w:rPr>
        <w:t>*Документи до Управління державного архітектурно-будівельного контролю подаються за вибором замовника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державного архітектурно-будівельного контролю, або у паперовій формі або поштовим відправленням з описом вкладення через центри надання адміністративних послуг.</w:t>
      </w:r>
    </w:p>
    <w:p w:rsidR="00D83072" w:rsidRPr="0025628A" w:rsidRDefault="008D4227">
      <w:pPr>
        <w:pStyle w:val="a5"/>
        <w:spacing w:before="0" w:after="0"/>
        <w:ind w:firstLine="426"/>
        <w:jc w:val="both"/>
        <w:rPr>
          <w:lang w:val="uk-UA"/>
        </w:rPr>
      </w:pPr>
      <w:r w:rsidRPr="0025628A">
        <w:rPr>
          <w:lang w:val="uk-UA"/>
        </w:rPr>
        <w:t>Під час прийняття документів у замовників адміністратори центрів надання адміністративних послуг через кабінет на Порталі Дія або електронний кабінет користувача створюють заявку з накладанням електронного підпису, завантажують до кабінету шляхом сканування документи, що подані заявником, та надсилають до відповідного органу державного архітектурно-будівельного контролю.</w:t>
      </w:r>
    </w:p>
    <w:p w:rsidR="00D83072" w:rsidRPr="0025628A" w:rsidRDefault="008D4227">
      <w:pPr>
        <w:pStyle w:val="a5"/>
        <w:spacing w:before="0" w:after="0"/>
        <w:ind w:firstLine="426"/>
        <w:jc w:val="both"/>
        <w:rPr>
          <w:lang w:val="uk-UA"/>
        </w:rPr>
      </w:pPr>
      <w:r w:rsidRPr="0025628A">
        <w:rPr>
          <w:lang w:val="uk-UA"/>
        </w:rPr>
        <w:t>Пункт 174 Порядку ведення Єдиної державної електронної системи у сфері будівництва, затвердженого постановою Кабінету Міністрів України від 23.06.2021 № 681, яким визначені функціональні можливості електронного кабінету адміністратора центру надання адміністративних послуг, набирає чинності з 01.10.2021.</w:t>
      </w:r>
    </w:p>
    <w:p w:rsidR="00D83072" w:rsidRPr="0025628A" w:rsidRDefault="00D83072">
      <w:pPr>
        <w:pStyle w:val="a7"/>
        <w:rPr>
          <w:b/>
          <w:bCs/>
          <w:sz w:val="24"/>
          <w:szCs w:val="24"/>
          <w:lang w:val="uk-UA"/>
        </w:rPr>
      </w:pPr>
    </w:p>
    <w:p w:rsidR="00D83072" w:rsidRPr="0025628A" w:rsidRDefault="00D83072">
      <w:pPr>
        <w:pStyle w:val="a7"/>
        <w:rPr>
          <w:b/>
          <w:bCs/>
          <w:sz w:val="24"/>
          <w:szCs w:val="24"/>
          <w:lang w:val="uk-UA"/>
        </w:rPr>
      </w:pPr>
    </w:p>
    <w:p w:rsidR="00D83072" w:rsidRDefault="00D83072" w:rsidP="00B042CC">
      <w:pPr>
        <w:pStyle w:val="a5"/>
        <w:jc w:val="both"/>
      </w:pPr>
      <w:bookmarkStart w:id="0" w:name="_GoBack"/>
      <w:bookmarkEnd w:id="0"/>
    </w:p>
    <w:sectPr w:rsidR="00D8307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76" w:rsidRDefault="001A5476">
      <w:r>
        <w:separator/>
      </w:r>
    </w:p>
  </w:endnote>
  <w:endnote w:type="continuationSeparator" w:id="0">
    <w:p w:rsidR="001A5476" w:rsidRDefault="001A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72" w:rsidRDefault="00D83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76" w:rsidRDefault="001A5476">
      <w:r>
        <w:separator/>
      </w:r>
    </w:p>
  </w:footnote>
  <w:footnote w:type="continuationSeparator" w:id="0">
    <w:p w:rsidR="001A5476" w:rsidRDefault="001A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72" w:rsidRDefault="00D830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72"/>
    <w:rsid w:val="001A5476"/>
    <w:rsid w:val="0025628A"/>
    <w:rsid w:val="008D4227"/>
    <w:rsid w:val="00B042CC"/>
    <w:rsid w:val="00D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450C"/>
  <w15:docId w15:val="{BA0A0462-EFD5-42D4-9C1D-9FE160F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eastAsia="Times New Roman"/>
      <w:color w:val="000000"/>
      <w:sz w:val="28"/>
      <w:szCs w:val="28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2562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28A"/>
    <w:rPr>
      <w:rFonts w:ascii="Segoe UI" w:hAnsi="Segoe UI" w:cs="Segoe UI"/>
      <w:color w:val="000000"/>
      <w:sz w:val="18"/>
      <w:szCs w:val="18"/>
      <w:u w:color="000000"/>
    </w:rPr>
  </w:style>
  <w:style w:type="paragraph" w:styleId="2">
    <w:name w:val="Body Text Indent 2"/>
    <w:basedOn w:val="a"/>
    <w:link w:val="20"/>
    <w:semiHidden/>
    <w:unhideWhenUsed/>
    <w:rsid w:val="00B042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eastAsia="Times New Roman" w:cs="Times New Roman"/>
      <w:color w:val="auto"/>
      <w:sz w:val="28"/>
      <w:bdr w:val="none" w:sz="0" w:space="0" w:color="auto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B042CC"/>
    <w:rPr>
      <w:rFonts w:eastAsia="Times New Roman"/>
      <w:sz w:val="28"/>
      <w:szCs w:val="24"/>
      <w:bdr w:val="none" w:sz="0" w:space="0" w:color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PROTG889_USER04</cp:lastModifiedBy>
  <cp:revision>3</cp:revision>
  <cp:lastPrinted>2023-12-26T12:36:00Z</cp:lastPrinted>
  <dcterms:created xsi:type="dcterms:W3CDTF">2023-12-26T12:36:00Z</dcterms:created>
  <dcterms:modified xsi:type="dcterms:W3CDTF">2025-04-07T08:14:00Z</dcterms:modified>
</cp:coreProperties>
</file>